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2CFD1">
      <w:pPr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天津财经大学</w:t>
      </w:r>
    </w:p>
    <w:p w14:paraId="1D823398">
      <w:pPr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Theme="minorEastAsia" w:hAnsiTheme="minorEastAsia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年硕士研究生入学考试初试自命题科目考试要点及推荐书目</w:t>
      </w:r>
    </w:p>
    <w:p w14:paraId="7FD0FE46">
      <w:pPr>
        <w:spacing w:line="360" w:lineRule="auto"/>
        <w:rPr>
          <w:rFonts w:hint="default" w:eastAsiaTheme="min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</w:t>
      </w:r>
    </w:p>
    <w:p w14:paraId="05063C07">
      <w:pPr>
        <w:spacing w:line="360" w:lineRule="auto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自命题科目及代码：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357</w:t>
      </w:r>
      <w:r>
        <w:rPr>
          <w:rFonts w:hint="eastAsia" w:ascii="宋体" w:hAnsi="宋体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翻译基础（英语）</w:t>
      </w:r>
    </w:p>
    <w:p w14:paraId="48957DE5">
      <w:pPr>
        <w:spacing w:line="360" w:lineRule="auto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C35F1A6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一、考试形式</w:t>
      </w:r>
    </w:p>
    <w:p w14:paraId="1692A59B">
      <w:pPr>
        <w:spacing w:line="360" w:lineRule="auto"/>
        <w:rPr>
          <w:rFonts w:asciiTheme="minorEastAsia" w:hAnsiTheme="minorEastAsia"/>
          <w:color w:val="FF0000"/>
          <w:sz w:val="24"/>
          <w:szCs w:val="24"/>
        </w:rPr>
      </w:pPr>
      <w:r>
        <w:rPr>
          <w:rFonts w:hint="eastAsia" w:asciiTheme="minorEastAsia" w:hAnsiTheme="minorEastAsia"/>
          <w:color w:val="FF0000"/>
          <w:sz w:val="24"/>
          <w:szCs w:val="24"/>
        </w:rPr>
        <w:t xml:space="preserve"> </w:t>
      </w:r>
      <w:r>
        <w:rPr>
          <w:rFonts w:asciiTheme="minorEastAsia" w:hAnsiTheme="minorEastAsia"/>
          <w:color w:val="FF0000"/>
          <w:sz w:val="24"/>
          <w:szCs w:val="24"/>
        </w:rPr>
        <w:t xml:space="preserve">   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笔试，考试时间为3小时，满分1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分。</w:t>
      </w:r>
    </w:p>
    <w:p w14:paraId="02FC8851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二、考试要点（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不排除考察要点之外内容，仅供考生参考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4A07F7B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本考试是测试考生是否具备基础翻译能力的尺度参照性水平考试。考试范围包括考生入学应具备的英语词汇量、语法知识和英汉互译的基本技能。</w:t>
      </w:r>
    </w:p>
    <w:p w14:paraId="1EE7C6E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考试的基本要求包括：1.具备一定中英文化，以及政治、经济、法律等方面的背景知识。2.具备扎实的英汉语言基本功。3.具备较强的英汉/汉英转换能力。</w:t>
      </w:r>
    </w:p>
    <w:p w14:paraId="3FD5030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本考试采取单项技能测试与综合技能测试相结合的方法，强调考生的英汉/汉英转换能力。考试包括两个部分：词语翻译和篇章翻译。各项试题的分布情况见“考试内容一览表”。</w:t>
      </w:r>
    </w:p>
    <w:p w14:paraId="5D14930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35D1326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　　　　　　　　　　　　　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I. 词语翻译</w:t>
      </w:r>
    </w:p>
    <w:p w14:paraId="2528DB68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1. 考试要求</w:t>
      </w:r>
    </w:p>
    <w:p w14:paraId="779F25C9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要求考生准确翻译中英文术语、缩略语或专有名词。</w:t>
      </w:r>
    </w:p>
    <w:p w14:paraId="5F112770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2. 考试题型</w:t>
      </w:r>
    </w:p>
    <w:p w14:paraId="503476D7">
      <w:pPr>
        <w:widowControl/>
        <w:spacing w:line="579" w:lineRule="exact"/>
        <w:ind w:firstLine="48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中/英文术语、缩略语或专有名词各 15 个，共 30 题。</w:t>
      </w:r>
    </w:p>
    <w:p w14:paraId="2346E50D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　　　　　　　　　　　　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II. </w:t>
      </w:r>
      <w:r>
        <w:rPr>
          <w:rFonts w:hint="eastAsia" w:asciiTheme="majorEastAsia" w:hAnsiTheme="majorEastAsia" w:eastAsiaTheme="majorEastAsia" w:cstheme="majorEastAsia"/>
          <w:b/>
          <w:bCs w:val="0"/>
          <w:color w:val="000000"/>
          <w:sz w:val="24"/>
          <w:szCs w:val="24"/>
        </w:rPr>
        <w:t>篇章翻译</w:t>
      </w:r>
    </w:p>
    <w:p w14:paraId="1F0E6069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1. 考试要求</w:t>
      </w:r>
    </w:p>
    <w:p w14:paraId="104C58BA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考生应该具备英汉互译的基本技巧和能力；初步了解中国和英语国家的社会、文化等背景知识；译文忠实原文，无明显误译、漏译；译文通顺，用词正确、表达无误；译文无明显语法错误；英译汉速度每小时250-350个英语单词，汉译英速度每小时150-250 个汉字。</w:t>
      </w:r>
    </w:p>
    <w:p w14:paraId="5722494F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2. 考试题型</w:t>
      </w:r>
    </w:p>
    <w:p w14:paraId="6111DB6A">
      <w:pPr>
        <w:spacing w:line="360" w:lineRule="auto"/>
        <w:ind w:firstLine="480"/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英译汉为250-350个单词，汉译英为150-250个汉字。</w:t>
      </w:r>
    </w:p>
    <w:p w14:paraId="1F7D2FDB">
      <w:pPr>
        <w:widowControl/>
        <w:spacing w:line="579" w:lineRule="exact"/>
        <w:ind w:left="0" w:leftChars="0" w:firstLine="0" w:firstLineChars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24"/>
          <w:szCs w:val="24"/>
        </w:rPr>
        <w:t>《翻译基础（英语）》考试内容一览表</w:t>
      </w:r>
    </w:p>
    <w:tbl>
      <w:tblPr>
        <w:tblStyle w:val="4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900"/>
        <w:gridCol w:w="1440"/>
        <w:gridCol w:w="2880"/>
        <w:gridCol w:w="1272"/>
        <w:gridCol w:w="1428"/>
      </w:tblGrid>
      <w:tr w14:paraId="726A0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20" w:type="dxa"/>
            <w:noWrap w:val="0"/>
            <w:vAlign w:val="center"/>
          </w:tcPr>
          <w:p w14:paraId="6797C968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0B40A5F6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题  型</w:t>
            </w:r>
          </w:p>
        </w:tc>
        <w:tc>
          <w:tcPr>
            <w:tcW w:w="2880" w:type="dxa"/>
            <w:noWrap w:val="0"/>
            <w:vAlign w:val="center"/>
          </w:tcPr>
          <w:p w14:paraId="0E27A347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题  量</w:t>
            </w:r>
          </w:p>
        </w:tc>
        <w:tc>
          <w:tcPr>
            <w:tcW w:w="1272" w:type="dxa"/>
            <w:noWrap w:val="0"/>
            <w:vAlign w:val="center"/>
          </w:tcPr>
          <w:p w14:paraId="1D457B90">
            <w:pPr>
              <w:widowControl/>
              <w:jc w:val="both"/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值（分）</w:t>
            </w:r>
          </w:p>
        </w:tc>
        <w:tc>
          <w:tcPr>
            <w:tcW w:w="1428" w:type="dxa"/>
            <w:noWrap w:val="0"/>
            <w:vAlign w:val="center"/>
          </w:tcPr>
          <w:p w14:paraId="765C3598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时间（分钟）</w:t>
            </w:r>
          </w:p>
        </w:tc>
      </w:tr>
      <w:tr w14:paraId="26968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720" w:type="dxa"/>
            <w:vMerge w:val="restart"/>
            <w:noWrap w:val="0"/>
            <w:vAlign w:val="center"/>
          </w:tcPr>
          <w:p w14:paraId="3D13BA05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245EA78A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词语</w:t>
            </w:r>
          </w:p>
          <w:p w14:paraId="488C09BA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翻译</w:t>
            </w:r>
          </w:p>
        </w:tc>
        <w:tc>
          <w:tcPr>
            <w:tcW w:w="1440" w:type="dxa"/>
            <w:tcBorders>
              <w:left w:val="single" w:color="auto" w:sz="4" w:space="0"/>
            </w:tcBorders>
            <w:noWrap w:val="0"/>
            <w:vAlign w:val="center"/>
          </w:tcPr>
          <w:p w14:paraId="0E5CACD4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英译汉</w:t>
            </w:r>
          </w:p>
        </w:tc>
        <w:tc>
          <w:tcPr>
            <w:tcW w:w="2880" w:type="dxa"/>
            <w:noWrap w:val="0"/>
            <w:vAlign w:val="center"/>
          </w:tcPr>
          <w:p w14:paraId="667CE278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15个英文术语、缩略语</w:t>
            </w:r>
          </w:p>
          <w:p w14:paraId="5DA8A1ED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或专有名词。</w:t>
            </w:r>
          </w:p>
        </w:tc>
        <w:tc>
          <w:tcPr>
            <w:tcW w:w="1272" w:type="dxa"/>
            <w:noWrap w:val="0"/>
            <w:vAlign w:val="center"/>
          </w:tcPr>
          <w:p w14:paraId="26E973AC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28" w:type="dxa"/>
            <w:vMerge w:val="restart"/>
            <w:noWrap w:val="0"/>
            <w:vAlign w:val="center"/>
          </w:tcPr>
          <w:p w14:paraId="673FBF44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 xml:space="preserve">180 </w:t>
            </w:r>
          </w:p>
        </w:tc>
      </w:tr>
      <w:tr w14:paraId="402C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20" w:type="dxa"/>
            <w:vMerge w:val="continue"/>
            <w:noWrap w:val="0"/>
            <w:vAlign w:val="center"/>
          </w:tcPr>
          <w:p w14:paraId="29225A85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6F1D9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color="auto" w:sz="4" w:space="0"/>
            </w:tcBorders>
            <w:noWrap w:val="0"/>
            <w:vAlign w:val="center"/>
          </w:tcPr>
          <w:p w14:paraId="379B113D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汉译英</w:t>
            </w:r>
          </w:p>
        </w:tc>
        <w:tc>
          <w:tcPr>
            <w:tcW w:w="2880" w:type="dxa"/>
            <w:noWrap w:val="0"/>
            <w:vAlign w:val="center"/>
          </w:tcPr>
          <w:p w14:paraId="1D7C57EB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15个中文术语、缩略语</w:t>
            </w:r>
          </w:p>
          <w:p w14:paraId="5DC546F0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或专有名词。</w:t>
            </w:r>
          </w:p>
        </w:tc>
        <w:tc>
          <w:tcPr>
            <w:tcW w:w="1272" w:type="dxa"/>
            <w:noWrap w:val="0"/>
            <w:vAlign w:val="center"/>
          </w:tcPr>
          <w:p w14:paraId="04B014C1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28" w:type="dxa"/>
            <w:vMerge w:val="continue"/>
            <w:noWrap w:val="0"/>
            <w:vAlign w:val="center"/>
          </w:tcPr>
          <w:p w14:paraId="39DE6ABA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</w:tr>
      <w:tr w14:paraId="4ED86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20" w:type="dxa"/>
            <w:vMerge w:val="restart"/>
            <w:noWrap w:val="0"/>
            <w:vAlign w:val="center"/>
          </w:tcPr>
          <w:p w14:paraId="5E4F3E42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3BF2A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篇章</w:t>
            </w:r>
          </w:p>
          <w:p w14:paraId="6D757A6E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翻译</w:t>
            </w:r>
          </w:p>
        </w:tc>
        <w:tc>
          <w:tcPr>
            <w:tcW w:w="1440" w:type="dxa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557E2DC0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英译汉</w:t>
            </w:r>
          </w:p>
        </w:tc>
        <w:tc>
          <w:tcPr>
            <w:tcW w:w="28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8EF41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两段或一篇文章，</w:t>
            </w:r>
          </w:p>
          <w:p w14:paraId="58CFE423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250-350个单词。</w:t>
            </w:r>
          </w:p>
        </w:tc>
        <w:tc>
          <w:tcPr>
            <w:tcW w:w="1272" w:type="dxa"/>
            <w:tcBorders>
              <w:left w:val="single" w:color="auto" w:sz="4" w:space="0"/>
            </w:tcBorders>
            <w:noWrap w:val="0"/>
            <w:vAlign w:val="center"/>
          </w:tcPr>
          <w:p w14:paraId="198CB62D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28" w:type="dxa"/>
            <w:vMerge w:val="continue"/>
            <w:noWrap w:val="0"/>
            <w:vAlign w:val="center"/>
          </w:tcPr>
          <w:p w14:paraId="213DC7B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</w:tr>
      <w:tr w14:paraId="404BC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72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F028315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9819C6C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6291CA4D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汉译英</w:t>
            </w:r>
          </w:p>
        </w:tc>
        <w:tc>
          <w:tcPr>
            <w:tcW w:w="28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78ABF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两段或一篇文章，</w:t>
            </w:r>
          </w:p>
          <w:p w14:paraId="36F73DC4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150-250个汉字。</w:t>
            </w:r>
          </w:p>
        </w:tc>
        <w:tc>
          <w:tcPr>
            <w:tcW w:w="1272" w:type="dxa"/>
            <w:tcBorders>
              <w:left w:val="single" w:color="auto" w:sz="4" w:space="0"/>
            </w:tcBorders>
            <w:noWrap w:val="0"/>
            <w:vAlign w:val="center"/>
          </w:tcPr>
          <w:p w14:paraId="364EC1A4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28" w:type="dxa"/>
            <w:vMerge w:val="continue"/>
            <w:noWrap w:val="0"/>
            <w:vAlign w:val="center"/>
          </w:tcPr>
          <w:p w14:paraId="681A730C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</w:tr>
      <w:tr w14:paraId="7B74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940" w:type="dxa"/>
            <w:gridSpan w:val="4"/>
            <w:noWrap w:val="0"/>
            <w:vAlign w:val="center"/>
          </w:tcPr>
          <w:p w14:paraId="377384D8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color w:val="000000"/>
                <w:sz w:val="24"/>
                <w:szCs w:val="24"/>
              </w:rPr>
              <w:t>总计</w:t>
            </w:r>
          </w:p>
        </w:tc>
        <w:tc>
          <w:tcPr>
            <w:tcW w:w="1272" w:type="dxa"/>
            <w:noWrap w:val="0"/>
            <w:vAlign w:val="center"/>
          </w:tcPr>
          <w:p w14:paraId="762BAE42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28" w:type="dxa"/>
            <w:vMerge w:val="continue"/>
            <w:noWrap w:val="0"/>
            <w:vAlign w:val="center"/>
          </w:tcPr>
          <w:p w14:paraId="46A79C14">
            <w:pPr>
              <w:widowControl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</w:p>
        </w:tc>
      </w:tr>
    </w:tbl>
    <w:p w14:paraId="14B1EFC3">
      <w:pPr>
        <w:numPr>
          <w:ilvl w:val="0"/>
          <w:numId w:val="0"/>
        </w:numPr>
        <w:spacing w:line="360" w:lineRule="auto"/>
        <w:rPr>
          <w:rFonts w:hint="eastAsia" w:asciiTheme="majorEastAsia" w:hAnsiTheme="majorEastAsia" w:eastAsiaTheme="majorEastAsia" w:cstheme="maj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1D7E2201">
      <w:pPr>
        <w:spacing w:line="360" w:lineRule="auto"/>
        <w:rPr>
          <w:sz w:val="24"/>
        </w:rPr>
      </w:pPr>
      <w:r>
        <w:rPr>
          <w:rFonts w:hint="eastAsia"/>
          <w:sz w:val="24"/>
        </w:rPr>
        <w:t>三、推荐书目</w:t>
      </w:r>
    </w:p>
    <w:p w14:paraId="1BE02B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1.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《英译汉教程》，连淑能编著，高等教育出版社，2013年</w:t>
      </w:r>
    </w:p>
    <w:p w14:paraId="6121A8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2.《汉英翻译教程》，陈宏</w:t>
      </w:r>
      <w:bookmarkStart w:id="0" w:name="_GoBack"/>
      <w:bookmarkEnd w:id="0"/>
      <w:r>
        <w:rPr>
          <w:rFonts w:hint="eastAsia" w:ascii="宋体" w:hAnsi="宋体"/>
          <w:color w:val="auto"/>
          <w:sz w:val="24"/>
          <w:lang w:val="en-US" w:eastAsia="zh-CN"/>
        </w:rPr>
        <w:t>薇、李亚丹主编，上海外语教育出版社，2018年</w:t>
      </w:r>
    </w:p>
    <w:p w14:paraId="3548E0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3.《实用翻译教程（英汉互译）》（第4版），冯庆华主编，上海：上海外语教育出版社，2022年</w:t>
      </w:r>
    </w:p>
    <w:p w14:paraId="69C6C6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/>
          <w:color w:val="auto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567"/>
    <w:rsid w:val="000246D8"/>
    <w:rsid w:val="000F59ED"/>
    <w:rsid w:val="001B48A3"/>
    <w:rsid w:val="00277567"/>
    <w:rsid w:val="00312AED"/>
    <w:rsid w:val="00596BC9"/>
    <w:rsid w:val="00623CF1"/>
    <w:rsid w:val="007920E7"/>
    <w:rsid w:val="009142D1"/>
    <w:rsid w:val="0092607F"/>
    <w:rsid w:val="0094675F"/>
    <w:rsid w:val="00BC6DC1"/>
    <w:rsid w:val="00C56ECB"/>
    <w:rsid w:val="00D77D50"/>
    <w:rsid w:val="00DA74B4"/>
    <w:rsid w:val="00EA7F38"/>
    <w:rsid w:val="00ED0102"/>
    <w:rsid w:val="00F149C4"/>
    <w:rsid w:val="00F30D8D"/>
    <w:rsid w:val="1B9C2321"/>
    <w:rsid w:val="225E2740"/>
    <w:rsid w:val="259B1DDF"/>
    <w:rsid w:val="2FA47113"/>
    <w:rsid w:val="35D241EC"/>
    <w:rsid w:val="4025357F"/>
    <w:rsid w:val="408E4D75"/>
    <w:rsid w:val="5F80074E"/>
    <w:rsid w:val="6120103E"/>
    <w:rsid w:val="77C1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jianju1"/>
    <w:basedOn w:val="1"/>
    <w:qFormat/>
    <w:uiPriority w:val="0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rthjk</Company>
  <Pages>2</Pages>
  <Words>1461</Words>
  <Characters>1560</Characters>
  <Lines>2</Lines>
  <Paragraphs>1</Paragraphs>
  <TotalTime>0</TotalTime>
  <ScaleCrop>false</ScaleCrop>
  <LinksUpToDate>false</LinksUpToDate>
  <CharactersWithSpaces>1691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2024-06-17T00:51:00Z</dcterms:created>
  <dc:creator>Administrator</dc:creator>
  <cp:lastModifiedBy>张建东</cp:lastModifiedBy>
  <dcterms:modified xsi:type="dcterms:W3CDTF">2026-08-31T08:13:55Z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eyJoZGlkIjoiYTI5YzA2MWMxMzFkMTIxY2M0ZTIxZDgxZjM5M2Q2NDgiLCJ1c2VySWQiOiI0MDM3MjI4OTQifQ==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84AAF0BF9DFB4F91978382CB846AC0F3_13</vt:lpwstr>
  </property>
</Properties>
</file>